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43" w:rsidRDefault="00831343"/>
    <w:p w:rsidR="00B05E26" w:rsidRPr="00523988" w:rsidRDefault="00B05E26" w:rsidP="00B05E26">
      <w:pPr>
        <w:pStyle w:val="Ttulo1"/>
      </w:pPr>
      <w:bookmarkStart w:id="0" w:name="_Toc434943635"/>
      <w:r w:rsidRPr="00523988">
        <w:t>Referències bibliogràfiques</w:t>
      </w:r>
      <w:bookmarkEnd w:id="0"/>
      <w:r w:rsidRPr="00523988">
        <w:t xml:space="preserve"> </w:t>
      </w:r>
    </w:p>
    <w:p w:rsidR="00B05E26" w:rsidRPr="00523988" w:rsidRDefault="00B05E26" w:rsidP="00B05E26">
      <w:pPr>
        <w:pStyle w:val="Ttulo2"/>
      </w:pPr>
      <w:bookmarkStart w:id="1" w:name="_estudis_sobre_100%"/>
      <w:bookmarkStart w:id="2" w:name="_Toc434943636"/>
      <w:bookmarkStart w:id="3" w:name="_GoBack"/>
      <w:bookmarkEnd w:id="1"/>
      <w:bookmarkEnd w:id="3"/>
      <w:r w:rsidRPr="00523988">
        <w:t>estudis sobre 100% renovables</w:t>
      </w:r>
      <w:bookmarkEnd w:id="2"/>
    </w:p>
    <w:p w:rsidR="00B05E26" w:rsidRPr="00523988" w:rsidRDefault="00B05E26" w:rsidP="00B05E26">
      <w:pPr>
        <w:rPr>
          <w:lang w:val="ca-ES"/>
        </w:rPr>
      </w:pPr>
      <w:r w:rsidRPr="00523988">
        <w:rPr>
          <w:lang w:val="ca-ES"/>
        </w:rPr>
        <w:t>A tall d’exemple es donen els enllaços a 10 estudis que avalen la factibilitat de funcionar amb energia procedent al 100% de fonts renovables. Per ordre cronològic:</w:t>
      </w:r>
    </w:p>
    <w:p w:rsidR="00B05E26" w:rsidRPr="00523988" w:rsidRDefault="00B05E26" w:rsidP="00B05E26">
      <w:pPr>
        <w:rPr>
          <w:lang w:val="ca-ES"/>
        </w:rPr>
      </w:pPr>
      <w:r w:rsidRPr="00523988">
        <w:rPr>
          <w:lang w:val="ca-ES"/>
        </w:rPr>
        <w:t>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32"/>
        <w:gridCol w:w="1543"/>
        <w:gridCol w:w="2209"/>
      </w:tblGrid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Catalunya 100% renovable: </w:t>
            </w:r>
          </w:p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Propostes per a un futur lliure de nuclears i combustibles fòssils.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73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Catalunya</w:t>
            </w:r>
          </w:p>
        </w:tc>
        <w:tc>
          <w:tcPr>
            <w:tcW w:w="1543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209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Juliol 2005 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GreenPeace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Ecologistes en Acció +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EuroSolar</w:t>
            </w:r>
            <w:proofErr w:type="spellEnd"/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18"/>
                <w:szCs w:val="18"/>
                <w:lang w:val="ca-ES"/>
              </w:rPr>
            </w:pPr>
            <w:hyperlink r:id="rId5" w:history="1">
              <w:r w:rsidRPr="00523988">
                <w:rPr>
                  <w:rStyle w:val="Hipervnculo"/>
                  <w:sz w:val="18"/>
                  <w:szCs w:val="18"/>
                  <w:lang w:val="ca-ES"/>
                </w:rPr>
                <w:t>http://www.energiasostenible.org/mm/file/ES-ACat02_Cat100x100Ren_EAEurGP.pdf</w:t>
              </w:r>
            </w:hyperlink>
            <w:r w:rsidRPr="00523988">
              <w:rPr>
                <w:sz w:val="18"/>
                <w:szCs w:val="18"/>
                <w:lang w:val="ca-ES"/>
              </w:rPr>
              <w:t xml:space="preserve"> 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 w:eastAsia="en-GB"/>
              </w:rPr>
            </w:pPr>
            <w:r w:rsidRPr="00523988">
              <w:rPr>
                <w:sz w:val="20"/>
                <w:szCs w:val="20"/>
                <w:lang w:val="ca-ES" w:eastAsia="en-GB"/>
              </w:rPr>
              <w:t>Es tracta d’un document històric que explora la capacitat de generació renovable de Catalunya i arriba a la conclusió:</w:t>
            </w:r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“amb una capacitat de generació renovable tan elevada, sembla obvi que existeixen moltes opcions per configurar un mix de generació 100% renovable capaç de cobrir la demanda dels serveis energètics de Catalunya”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60"/>
        <w:gridCol w:w="1698"/>
        <w:gridCol w:w="2126"/>
      </w:tblGrid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System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Analysis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of 100 Per cent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Systems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660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Dinamarca</w:t>
            </w:r>
          </w:p>
        </w:tc>
        <w:tc>
          <w:tcPr>
            <w:tcW w:w="1698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126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2007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Danish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Association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of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Engineers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&amp;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Aalborg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University 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6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http://vbn.aau.dk/ws/files/38596501/Energy_System_Analysis_of_100_Per_cent_Renewable_Energy_Systems_The_Case_of_Denmark_year_2030_and_2050.pdf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29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/>
              </w:rPr>
            </w:pPr>
            <w:r w:rsidRPr="00523988">
              <w:rPr>
                <w:sz w:val="20"/>
                <w:szCs w:val="20"/>
                <w:lang w:val="ca-ES"/>
              </w:rPr>
              <w:t>Estudi tècnic amb propostes operatives i visió global. En l’abstrac, diu: “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This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paper presents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methodology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results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overall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system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analysis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a 100 per cent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system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input for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systems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result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a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project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Danish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Association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Engineers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in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which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1600 participants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during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more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40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seminars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discussed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designed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a model for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future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system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Denmark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putting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emphasis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on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efficiency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CO2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reduction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industrial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development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. …/…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conclusion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a 100 per cent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renewable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supply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based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on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domestic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resources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is 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/>
              </w:rPr>
              <w:t>physically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/>
              </w:rPr>
              <w:t xml:space="preserve"> possible</w:t>
            </w:r>
            <w:r w:rsidRPr="00523988">
              <w:rPr>
                <w:sz w:val="20"/>
                <w:szCs w:val="20"/>
                <w:lang w:val="ca-ES"/>
              </w:rPr>
              <w:t>.”  Al mateix temps, tenint en compte la viabilitat sòcio-econòmica, avisa: “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design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future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100 per cent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systems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is a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very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complex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process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>”</w:t>
            </w:r>
            <w:r w:rsidRPr="00523988">
              <w:rPr>
                <w:sz w:val="20"/>
                <w:szCs w:val="20"/>
                <w:lang w:val="ca-ES"/>
              </w:rPr>
              <w:t>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Re-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thinking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2050; A 100%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Vision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for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European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Union.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Europa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2010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spacing w:line="240" w:lineRule="atLeast"/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spacing w:line="240" w:lineRule="atLeas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EREC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European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Council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(una mena de confederació europea d’organitzacions empresarials dedicades a les energies renovables). Seu a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Brusel·les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7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http://www.erec.org/fileadmin/erec_docs/Documents/Publications/ReThinking2050_full%20version_final.pdf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EREC report </w:t>
            </w:r>
            <w:r w:rsidRPr="00523988">
              <w:rPr>
                <w:b/>
                <w:i/>
                <w:sz w:val="20"/>
                <w:szCs w:val="20"/>
                <w:lang w:val="ca-ES" w:eastAsia="en-GB"/>
              </w:rPr>
              <w:t>RE-</w:t>
            </w:r>
            <w:proofErr w:type="spellStart"/>
            <w:r w:rsidRPr="00523988">
              <w:rPr>
                <w:b/>
                <w:i/>
                <w:sz w:val="20"/>
                <w:szCs w:val="20"/>
                <w:lang w:val="ca-ES" w:eastAsia="en-GB"/>
              </w:rPr>
              <w:t>thinking</w:t>
            </w:r>
            <w:proofErr w:type="spellEnd"/>
            <w:r w:rsidRPr="00523988">
              <w:rPr>
                <w:b/>
                <w:i/>
                <w:sz w:val="20"/>
                <w:szCs w:val="20"/>
                <w:lang w:val="ca-ES" w:eastAsia="en-GB"/>
              </w:rPr>
              <w:t xml:space="preserve"> 2050</w:t>
            </w:r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sets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out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ambitious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vision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for a 100%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system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 for 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European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 Union.</w:t>
            </w:r>
            <w:r w:rsidRPr="00523988">
              <w:rPr>
                <w:sz w:val="20"/>
                <w:szCs w:val="20"/>
                <w:lang w:val="ca-ES" w:eastAsia="en-GB"/>
              </w:rPr>
              <w:t xml:space="preserve">  Pel fet d’estar elaborat empreses dedicades a energies renovables podria ser qualificat de “parcial”.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Policies for a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transition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to 100%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systems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in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Denmark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before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2050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Dinamarca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2011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Danish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Council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for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Strategic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Research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&amp;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Aalborg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University + 5 institucions més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8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http://www.ceesa.plan.aau.dk/digitalAssets/32/32604_ceesa_wp4_report_samlet_02112011.pdf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lang w:val="ca-ES"/>
              </w:rPr>
            </w:pPr>
            <w:r w:rsidRPr="00523988">
              <w:rPr>
                <w:lang w:val="ca-ES"/>
              </w:rPr>
              <w:t>Es tracta d’una maduració del cas danès i entra de ple a analitzar els actors clau de la transició i a esbossar un full de ruta i les polítiques a ella associades. Remarca:</w:t>
            </w:r>
          </w:p>
          <w:p w:rsidR="00B05E26" w:rsidRPr="00523988" w:rsidRDefault="00B05E26" w:rsidP="002632F9">
            <w:pPr>
              <w:rPr>
                <w:i/>
                <w:lang w:val="ca-ES"/>
              </w:rPr>
            </w:pPr>
            <w:proofErr w:type="spellStart"/>
            <w:r w:rsidRPr="00523988">
              <w:rPr>
                <w:i/>
                <w:lang w:val="ca-ES"/>
              </w:rPr>
              <w:t>This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change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requires</w:t>
            </w:r>
            <w:proofErr w:type="spellEnd"/>
            <w:r w:rsidRPr="00523988">
              <w:rPr>
                <w:i/>
                <w:lang w:val="ca-ES"/>
              </w:rPr>
              <w:t xml:space="preserve"> a </w:t>
            </w:r>
            <w:proofErr w:type="spellStart"/>
            <w:r w:rsidRPr="00523988">
              <w:rPr>
                <w:i/>
                <w:lang w:val="ca-ES"/>
              </w:rPr>
              <w:t>new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paradigm</w:t>
            </w:r>
            <w:proofErr w:type="spellEnd"/>
            <w:r w:rsidRPr="00523988">
              <w:rPr>
                <w:i/>
                <w:lang w:val="ca-ES"/>
              </w:rPr>
              <w:t xml:space="preserve">. </w:t>
            </w:r>
            <w:proofErr w:type="spellStart"/>
            <w:r w:rsidRPr="00523988">
              <w:rPr>
                <w:i/>
                <w:lang w:val="ca-ES"/>
              </w:rPr>
              <w:t>It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requires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infrastructure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that</w:t>
            </w:r>
            <w:proofErr w:type="spellEnd"/>
            <w:r w:rsidRPr="00523988">
              <w:rPr>
                <w:i/>
                <w:lang w:val="ca-ES"/>
              </w:rPr>
              <w:t xml:space="preserve"> can </w:t>
            </w:r>
            <w:proofErr w:type="spellStart"/>
            <w:r w:rsidRPr="00523988">
              <w:rPr>
                <w:i/>
                <w:lang w:val="ca-ES"/>
              </w:rPr>
              <w:t>manage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intermittent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renewable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energy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sources</w:t>
            </w:r>
            <w:proofErr w:type="spellEnd"/>
            <w:r w:rsidRPr="00523988">
              <w:rPr>
                <w:i/>
                <w:lang w:val="ca-ES"/>
              </w:rPr>
              <w:t xml:space="preserve"> in </w:t>
            </w:r>
            <w:proofErr w:type="spellStart"/>
            <w:r w:rsidRPr="00523988">
              <w:rPr>
                <w:i/>
                <w:lang w:val="ca-ES"/>
              </w:rPr>
              <w:t>such</w:t>
            </w:r>
            <w:proofErr w:type="spellEnd"/>
            <w:r w:rsidRPr="00523988">
              <w:rPr>
                <w:i/>
                <w:lang w:val="ca-ES"/>
              </w:rPr>
              <w:t xml:space="preserve"> a </w:t>
            </w:r>
            <w:proofErr w:type="spellStart"/>
            <w:r w:rsidRPr="00523988">
              <w:rPr>
                <w:i/>
                <w:lang w:val="ca-ES"/>
              </w:rPr>
              <w:t>way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that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energy</w:t>
            </w:r>
            <w:proofErr w:type="spellEnd"/>
            <w:r w:rsidRPr="00523988">
              <w:rPr>
                <w:i/>
                <w:lang w:val="ca-ES"/>
              </w:rPr>
              <w:t xml:space="preserve"> is </w:t>
            </w:r>
            <w:proofErr w:type="spellStart"/>
            <w:r w:rsidRPr="00523988">
              <w:rPr>
                <w:i/>
                <w:lang w:val="ca-ES"/>
              </w:rPr>
              <w:t>available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at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the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right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time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and</w:t>
            </w:r>
            <w:proofErr w:type="spellEnd"/>
            <w:r w:rsidRPr="00523988">
              <w:rPr>
                <w:i/>
                <w:lang w:val="ca-ES"/>
              </w:rPr>
              <w:t xml:space="preserve"> in </w:t>
            </w:r>
            <w:proofErr w:type="spellStart"/>
            <w:r w:rsidRPr="00523988">
              <w:rPr>
                <w:i/>
                <w:lang w:val="ca-ES"/>
              </w:rPr>
              <w:t>the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right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amount</w:t>
            </w:r>
            <w:proofErr w:type="spellEnd"/>
            <w:r w:rsidRPr="00523988">
              <w:rPr>
                <w:i/>
                <w:lang w:val="ca-ES"/>
              </w:rPr>
              <w:t xml:space="preserve"> for </w:t>
            </w:r>
            <w:proofErr w:type="spellStart"/>
            <w:r w:rsidRPr="00523988">
              <w:rPr>
                <w:i/>
                <w:lang w:val="ca-ES"/>
              </w:rPr>
              <w:t>the</w:t>
            </w:r>
            <w:proofErr w:type="spellEnd"/>
            <w:r w:rsidRPr="00523988">
              <w:rPr>
                <w:i/>
                <w:lang w:val="ca-ES"/>
              </w:rPr>
              <w:t xml:space="preserve"> consumers. </w:t>
            </w:r>
            <w:proofErr w:type="spellStart"/>
            <w:r w:rsidRPr="00523988">
              <w:rPr>
                <w:i/>
                <w:lang w:val="ca-ES"/>
              </w:rPr>
              <w:t>The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policy</w:t>
            </w:r>
            <w:proofErr w:type="spellEnd"/>
            <w:r w:rsidRPr="00523988">
              <w:rPr>
                <w:i/>
                <w:lang w:val="ca-ES"/>
              </w:rPr>
              <w:t xml:space="preserve"> instruments </w:t>
            </w:r>
            <w:proofErr w:type="spellStart"/>
            <w:r w:rsidRPr="00523988">
              <w:rPr>
                <w:i/>
                <w:lang w:val="ca-ES"/>
              </w:rPr>
              <w:t>include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systems</w:t>
            </w:r>
            <w:proofErr w:type="spellEnd"/>
            <w:r w:rsidRPr="00523988">
              <w:rPr>
                <w:i/>
                <w:lang w:val="ca-ES"/>
              </w:rPr>
              <w:t xml:space="preserve"> of taxes, </w:t>
            </w:r>
            <w:proofErr w:type="spellStart"/>
            <w:r w:rsidRPr="00523988">
              <w:rPr>
                <w:i/>
                <w:lang w:val="ca-ES"/>
              </w:rPr>
              <w:t>subsidies</w:t>
            </w:r>
            <w:proofErr w:type="spellEnd"/>
            <w:r w:rsidRPr="00523988">
              <w:rPr>
                <w:i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lang w:val="ca-ES"/>
              </w:rPr>
              <w:t>tariffs</w:t>
            </w:r>
            <w:proofErr w:type="spellEnd"/>
            <w:r w:rsidRPr="00523988">
              <w:rPr>
                <w:i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lang w:val="ca-ES"/>
              </w:rPr>
              <w:t>and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other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economic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conditions</w:t>
            </w:r>
            <w:proofErr w:type="spellEnd"/>
            <w:r w:rsidRPr="00523988">
              <w:rPr>
                <w:i/>
                <w:lang w:val="ca-ES"/>
              </w:rPr>
              <w:t xml:space="preserve"> in </w:t>
            </w:r>
            <w:proofErr w:type="spellStart"/>
            <w:r w:rsidRPr="00523988">
              <w:rPr>
                <w:i/>
                <w:lang w:val="ca-ES"/>
              </w:rPr>
              <w:t>order</w:t>
            </w:r>
            <w:proofErr w:type="spellEnd"/>
            <w:r w:rsidRPr="00523988">
              <w:rPr>
                <w:i/>
                <w:lang w:val="ca-ES"/>
              </w:rPr>
              <w:t xml:space="preserve"> to </w:t>
            </w:r>
            <w:proofErr w:type="spellStart"/>
            <w:r w:rsidRPr="00523988">
              <w:rPr>
                <w:i/>
                <w:lang w:val="ca-ES"/>
              </w:rPr>
              <w:t>obtain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an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optimal</w:t>
            </w:r>
            <w:proofErr w:type="spellEnd"/>
            <w:r w:rsidRPr="00523988">
              <w:rPr>
                <w:i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lang w:val="ca-ES"/>
              </w:rPr>
              <w:t>effect</w:t>
            </w:r>
            <w:proofErr w:type="spellEnd"/>
            <w:r w:rsidRPr="00523988">
              <w:rPr>
                <w:i/>
                <w:lang w:val="ca-ES"/>
              </w:rPr>
              <w:t xml:space="preserve">. 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br w:type="page"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Report: 100%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2050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Global (consultors suïssos i holandesos)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2011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WWF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World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Wide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Fund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for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Nature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+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Ecofys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Office for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Metropolitan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Architecture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(OMA)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9" w:anchor=".VZaxE0bC-Jd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http://www.postcarbonpathways.net.au/transition-strategies/the-energy-report-100-renewable-energy-by-2050/#.VZaxE0bC-Jd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/>
              </w:rPr>
            </w:pPr>
            <w:r w:rsidRPr="00523988">
              <w:rPr>
                <w:sz w:val="20"/>
                <w:szCs w:val="20"/>
                <w:lang w:val="ca-ES"/>
              </w:rPr>
              <w:t>Estudia la possibilitat de 100%R a nivell global del món.</w:t>
            </w:r>
          </w:p>
          <w:p w:rsidR="00B05E26" w:rsidRPr="00523988" w:rsidRDefault="00B05E26" w:rsidP="002632F9">
            <w:pPr>
              <w:rPr>
                <w:i/>
                <w:sz w:val="20"/>
                <w:szCs w:val="20"/>
                <w:lang w:val="ca-ES"/>
              </w:rPr>
            </w:pP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report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contains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two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parts: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first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emphasises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both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necessity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possibility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of a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world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powered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by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100 per cent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raises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a set of challenges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need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to be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addressed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to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realise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transition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to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scenario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These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challenges fall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into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categories of: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conservation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electrification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equity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land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sea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use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lifestyle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finance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innovation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. Part 2 presents a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detailed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global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scenario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modelled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by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Ecofys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which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described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as just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one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possible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pathway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rather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a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prescriptive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plan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>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Transition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Towards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a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Low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Carbon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System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2050: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What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Role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for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EU?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Europa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2011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European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University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Institute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THINK  (subvencionat per la UE)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8"/>
                <w:szCs w:val="18"/>
                <w:lang w:val="ca-ES" w:eastAsia="en-GB"/>
              </w:rPr>
            </w:pPr>
            <w:hyperlink r:id="rId10" w:history="1">
              <w:r w:rsidRPr="00523988">
                <w:rPr>
                  <w:rStyle w:val="Hipervnculo"/>
                  <w:sz w:val="18"/>
                  <w:szCs w:val="18"/>
                  <w:lang w:val="ca-ES" w:eastAsia="en-GB"/>
                </w:rPr>
                <w:t>http://www.eui.eu/Projects/THINK/Documents/THINK2050Report.pdf</w:t>
              </w:r>
            </w:hyperlink>
            <w:r w:rsidRPr="00523988">
              <w:rPr>
                <w:color w:val="1F497D"/>
                <w:sz w:val="18"/>
                <w:szCs w:val="18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 w:eastAsia="en-GB"/>
              </w:rPr>
            </w:pPr>
            <w:r w:rsidRPr="00523988">
              <w:rPr>
                <w:sz w:val="20"/>
                <w:szCs w:val="20"/>
                <w:lang w:val="ca-ES" w:eastAsia="en-GB"/>
              </w:rPr>
              <w:t>80 – 95% Renovables pel 2050.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Climate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Roadmaps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towards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2050 in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north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-western Europe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Nord Oest Europa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2012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PBL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Netherlands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Environmental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Assessment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Agency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11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http://www.pbl.nl/sites/default/files/cms/publicaties/PBL_2012_Climate-and-Energy-Roadmaps_500269001.pdf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 w:eastAsia="en-GB"/>
              </w:rPr>
            </w:pPr>
            <w:r w:rsidRPr="00523988">
              <w:rPr>
                <w:sz w:val="20"/>
                <w:szCs w:val="20"/>
                <w:lang w:val="ca-ES" w:eastAsia="en-GB"/>
              </w:rPr>
              <w:t xml:space="preserve">Estudi comparatiu de les polítiques oficials de </w:t>
            </w:r>
            <w:proofErr w:type="spellStart"/>
            <w:r w:rsidRPr="00523988">
              <w:rPr>
                <w:sz w:val="20"/>
                <w:szCs w:val="20"/>
                <w:lang w:val="ca-ES" w:eastAsia="en-GB"/>
              </w:rPr>
              <w:t>Bélgica</w:t>
            </w:r>
            <w:proofErr w:type="spellEnd"/>
            <w:r w:rsidRPr="00523988">
              <w:rPr>
                <w:sz w:val="20"/>
                <w:szCs w:val="20"/>
                <w:lang w:val="ca-ES" w:eastAsia="en-GB"/>
              </w:rPr>
              <w:t>, Dinamarca, França, Alemanya, Holanda i Regne Unit. Destaca que “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Danish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roadmap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is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characterised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aim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to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achieve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a 100%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system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2050</w:t>
            </w:r>
            <w:r w:rsidRPr="00523988">
              <w:rPr>
                <w:sz w:val="20"/>
                <w:szCs w:val="20"/>
                <w:lang w:val="ca-ES" w:eastAsia="en-GB"/>
              </w:rPr>
              <w:t>”.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Towards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100%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in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Belgium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2050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Bélgica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2013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Federal Planning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Bureau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dues institucions més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12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http://energie.wallonie.be/servlet/Repository/130419-backcasting-finalreport.pdf?ID=28161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/>
              </w:rPr>
            </w:pPr>
            <w:r w:rsidRPr="00523988">
              <w:rPr>
                <w:sz w:val="20"/>
                <w:szCs w:val="20"/>
                <w:lang w:val="ca-ES"/>
              </w:rPr>
              <w:t xml:space="preserve">Tracta de la factibilitat i de les polítiques necessàries. Ampli resum executiu en francès i neerlandès.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Different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trajectories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are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sketched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lead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up to a 100%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coverage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in 2050.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trajectories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show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that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it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is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feasible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to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combine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economic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growth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comfort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with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sources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These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options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were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deducted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from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several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discussions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with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stakeholders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via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an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open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dialogue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process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, as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well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as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with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/>
              </w:rPr>
              <w:t>national</w:t>
            </w:r>
            <w:proofErr w:type="spellEnd"/>
            <w:r w:rsidRPr="00523988">
              <w:rPr>
                <w:i/>
                <w:sz w:val="20"/>
                <w:szCs w:val="20"/>
                <w:lang w:val="ca-ES"/>
              </w:rPr>
              <w:t xml:space="preserve"> experts.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A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roadmap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for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repowering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California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for all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purposes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with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wind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water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sunlight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California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(USA)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2013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Standford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University + cinc institucions més.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13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http://web.stanford.edu/group/efmh/jacobson/Articles/I/CaliforniaWWS.pdf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 w:eastAsia="en-GB"/>
              </w:rPr>
            </w:pPr>
            <w:r w:rsidRPr="00523988">
              <w:rPr>
                <w:sz w:val="20"/>
                <w:szCs w:val="20"/>
                <w:lang w:val="ca-ES" w:eastAsia="en-GB"/>
              </w:rPr>
              <w:t xml:space="preserve">Full de ruta per a Califòrnia 100%R.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plan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contemplates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all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new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from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wind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water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sunlight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(WWS)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generating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electricity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electrolytic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hydrogen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. 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Targets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: 80 e 85% of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existing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converted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2030,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100%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by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2050.</w:t>
            </w:r>
          </w:p>
        </w:tc>
      </w:tr>
    </w:tbl>
    <w:p w:rsidR="00B05E26" w:rsidRPr="00523988" w:rsidRDefault="00B05E26" w:rsidP="00B05E26">
      <w:pPr>
        <w:rPr>
          <w:lang w:val="ca-ES" w:eastAsia="en-GB"/>
        </w:rPr>
      </w:pPr>
      <w:r w:rsidRPr="00523988">
        <w:rPr>
          <w:lang w:val="ca-ES" w:eastAsia="en-GB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948"/>
        <w:gridCol w:w="1296"/>
        <w:gridCol w:w="2622"/>
      </w:tblGrid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Títol: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North-East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Asian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Super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Grid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: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Mix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Economics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País:</w:t>
            </w:r>
          </w:p>
        </w:tc>
        <w:tc>
          <w:tcPr>
            <w:tcW w:w="3948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Xina +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Mongolia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Corea + Japó</w:t>
            </w:r>
          </w:p>
        </w:tc>
        <w:tc>
          <w:tcPr>
            <w:tcW w:w="1296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Any:</w:t>
            </w:r>
          </w:p>
        </w:tc>
        <w:tc>
          <w:tcPr>
            <w:tcW w:w="2622" w:type="dxa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2014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Institució: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Mizuho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Information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&amp;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Research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Institute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Japan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Corea +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Finlandia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 xml:space="preserve"> + </w:t>
            </w: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Mongolia</w:t>
            </w:r>
            <w:proofErr w:type="spellEnd"/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r w:rsidRPr="00523988">
              <w:rPr>
                <w:color w:val="1F497D"/>
                <w:sz w:val="20"/>
                <w:szCs w:val="20"/>
                <w:lang w:val="ca-ES" w:eastAsia="en-GB"/>
              </w:rPr>
              <w:t>Enllaç: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color w:val="1F497D"/>
                <w:sz w:val="16"/>
                <w:szCs w:val="16"/>
                <w:lang w:val="ca-ES" w:eastAsia="en-GB"/>
              </w:rPr>
            </w:pPr>
            <w:hyperlink r:id="rId14" w:history="1">
              <w:r w:rsidRPr="00523988">
                <w:rPr>
                  <w:rStyle w:val="Hipervnculo"/>
                  <w:sz w:val="16"/>
                  <w:szCs w:val="16"/>
                  <w:lang w:val="ca-ES" w:eastAsia="en-GB"/>
                </w:rPr>
                <w:t>http://www.qualenergia.it/sites/default/files/articolo-doc/Breyer2014_paper_North-EastAsianSuperGrid_REmix_Economics_WCPEC-6_final_141125_DigestFullPaperAppendix_preprint-1.pdf</w:t>
              </w:r>
            </w:hyperlink>
            <w:r w:rsidRPr="00523988">
              <w:rPr>
                <w:color w:val="1F497D"/>
                <w:sz w:val="16"/>
                <w:szCs w:val="16"/>
                <w:lang w:val="ca-ES" w:eastAsia="en-GB"/>
              </w:rPr>
              <w:t xml:space="preserve"> </w:t>
            </w:r>
          </w:p>
        </w:tc>
      </w:tr>
      <w:tr w:rsidR="00B05E26" w:rsidRPr="00523988" w:rsidTr="002632F9">
        <w:tc>
          <w:tcPr>
            <w:tcW w:w="1150" w:type="dxa"/>
            <w:shd w:val="clear" w:color="auto" w:fill="auto"/>
          </w:tcPr>
          <w:p w:rsidR="00B05E26" w:rsidRPr="00523988" w:rsidRDefault="00B05E26" w:rsidP="002632F9">
            <w:pPr>
              <w:jc w:val="right"/>
              <w:rPr>
                <w:color w:val="1F497D"/>
                <w:sz w:val="20"/>
                <w:szCs w:val="20"/>
                <w:lang w:val="ca-ES" w:eastAsia="en-GB"/>
              </w:rPr>
            </w:pPr>
            <w:proofErr w:type="spellStart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Observ</w:t>
            </w:r>
            <w:proofErr w:type="spellEnd"/>
            <w:r w:rsidRPr="00523988">
              <w:rPr>
                <w:color w:val="1F497D"/>
                <w:sz w:val="20"/>
                <w:szCs w:val="20"/>
                <w:lang w:val="ca-ES" w:eastAsia="en-GB"/>
              </w:rPr>
              <w:t>.:</w:t>
            </w:r>
          </w:p>
        </w:tc>
        <w:tc>
          <w:tcPr>
            <w:tcW w:w="7866" w:type="dxa"/>
            <w:gridSpan w:val="3"/>
            <w:shd w:val="clear" w:color="auto" w:fill="auto"/>
          </w:tcPr>
          <w:p w:rsidR="00B05E26" w:rsidRPr="00523988" w:rsidRDefault="00B05E26" w:rsidP="002632F9">
            <w:pPr>
              <w:rPr>
                <w:sz w:val="20"/>
                <w:szCs w:val="20"/>
                <w:lang w:val="ca-ES" w:eastAsia="en-GB"/>
              </w:rPr>
            </w:pPr>
            <w:r w:rsidRPr="00523988">
              <w:rPr>
                <w:sz w:val="20"/>
                <w:szCs w:val="20"/>
                <w:lang w:val="ca-ES" w:eastAsia="en-GB"/>
              </w:rPr>
              <w:t xml:space="preserve">Visió global de varis països asiàtics.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100%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system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in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North-East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Asia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is no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wishful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thinking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;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it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is a real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policy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option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, in particular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due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to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rapidly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decreasing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renewable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energy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technology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levelized cost of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electricity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(LCOE,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including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generation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curtailment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,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storage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transmission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grid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)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and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improving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storage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 xml:space="preserve"> </w:t>
            </w:r>
            <w:proofErr w:type="spellStart"/>
            <w:r w:rsidRPr="00523988">
              <w:rPr>
                <w:i/>
                <w:sz w:val="20"/>
                <w:szCs w:val="20"/>
                <w:lang w:val="ca-ES" w:eastAsia="en-GB"/>
              </w:rPr>
              <w:t>economics</w:t>
            </w:r>
            <w:proofErr w:type="spellEnd"/>
            <w:r w:rsidRPr="00523988">
              <w:rPr>
                <w:i/>
                <w:sz w:val="20"/>
                <w:szCs w:val="20"/>
                <w:lang w:val="ca-ES" w:eastAsia="en-GB"/>
              </w:rPr>
              <w:t>.</w:t>
            </w:r>
          </w:p>
        </w:tc>
      </w:tr>
    </w:tbl>
    <w:p w:rsidR="00B05E26" w:rsidRPr="00523988" w:rsidRDefault="00B05E26" w:rsidP="00B05E26">
      <w:pPr>
        <w:rPr>
          <w:lang w:val="ca-ES"/>
        </w:rPr>
      </w:pPr>
    </w:p>
    <w:p w:rsidR="00B05E26" w:rsidRPr="00523988" w:rsidRDefault="00B05E26" w:rsidP="00B05E26">
      <w:pPr>
        <w:rPr>
          <w:lang w:val="ca-ES"/>
        </w:rPr>
      </w:pPr>
      <w:r w:rsidRPr="00523988">
        <w:rPr>
          <w:lang w:val="ca-ES"/>
        </w:rPr>
        <w:t>NOTA: els enllaços subministrats en aquestes referències estaven actius al setembre de 2015.</w:t>
      </w:r>
    </w:p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p w:rsidR="00B05E26" w:rsidRDefault="00B05E26"/>
    <w:sectPr w:rsidR="00B0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D0A3F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6"/>
    <w:rsid w:val="00831343"/>
    <w:rsid w:val="00B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962D0-CEB9-4696-BD33-3333B4D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a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26"/>
    <w:pPr>
      <w:suppressAutoHyphens/>
      <w:spacing w:line="100" w:lineRule="atLeast"/>
    </w:pPr>
    <w:rPr>
      <w:rFonts w:ascii="Calibri" w:eastAsia="Calibri" w:hAnsi="Calibri" w:cs="Times New Roman"/>
      <w:spacing w:val="-2"/>
      <w:lang w:val="es-ES" w:eastAsia="ar-SA"/>
    </w:rPr>
  </w:style>
  <w:style w:type="paragraph" w:styleId="Ttulo1">
    <w:name w:val="heading 1"/>
    <w:basedOn w:val="Normal1"/>
    <w:next w:val="Normal1"/>
    <w:link w:val="Ttulo1Car"/>
    <w:qFormat/>
    <w:rsid w:val="00B05E26"/>
    <w:pPr>
      <w:keepNext/>
      <w:keepLines/>
      <w:numPr>
        <w:numId w:val="1"/>
      </w:numPr>
      <w:spacing w:after="200"/>
      <w:outlineLvl w:val="0"/>
    </w:pPr>
    <w:rPr>
      <w:rFonts w:eastAsia="Times New Roman"/>
      <w:b/>
      <w:bCs/>
      <w:sz w:val="36"/>
      <w:szCs w:val="36"/>
    </w:rPr>
  </w:style>
  <w:style w:type="paragraph" w:styleId="Ttulo2">
    <w:name w:val="heading 2"/>
    <w:basedOn w:val="Normal1"/>
    <w:next w:val="Normal1"/>
    <w:link w:val="Ttulo2Car"/>
    <w:qFormat/>
    <w:rsid w:val="00B05E26"/>
    <w:pPr>
      <w:keepNext/>
      <w:keepLines/>
      <w:numPr>
        <w:ilvl w:val="1"/>
        <w:numId w:val="1"/>
      </w:numPr>
      <w:spacing w:line="240" w:lineRule="auto"/>
      <w:jc w:val="right"/>
      <w:outlineLvl w:val="1"/>
    </w:pPr>
    <w:rPr>
      <w:rFonts w:eastAsia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5E26"/>
    <w:rPr>
      <w:rFonts w:ascii="Calibri" w:eastAsia="Times New Roman" w:hAnsi="Calibri" w:cs="Times New Roman"/>
      <w:b/>
      <w:bCs/>
      <w:spacing w:val="-2"/>
      <w:sz w:val="36"/>
      <w:szCs w:val="36"/>
      <w:lang w:eastAsia="ar-SA"/>
    </w:rPr>
  </w:style>
  <w:style w:type="character" w:customStyle="1" w:styleId="Ttulo2Car">
    <w:name w:val="Título 2 Car"/>
    <w:basedOn w:val="Fuentedeprrafopredeter"/>
    <w:link w:val="Ttulo2"/>
    <w:rsid w:val="00B05E26"/>
    <w:rPr>
      <w:rFonts w:ascii="Calibri" w:eastAsia="Times New Roman" w:hAnsi="Calibri" w:cs="Times New Roman"/>
      <w:b/>
      <w:bCs/>
      <w:spacing w:val="-2"/>
      <w:sz w:val="24"/>
      <w:szCs w:val="24"/>
      <w:lang w:eastAsia="ar-SA"/>
    </w:rPr>
  </w:style>
  <w:style w:type="character" w:styleId="Hipervnculo">
    <w:name w:val="Hyperlink"/>
    <w:uiPriority w:val="99"/>
    <w:rsid w:val="00B05E26"/>
    <w:rPr>
      <w:color w:val="000080"/>
      <w:u w:val="single"/>
    </w:rPr>
  </w:style>
  <w:style w:type="paragraph" w:customStyle="1" w:styleId="Normal1">
    <w:name w:val="Normal1"/>
    <w:rsid w:val="00B05E26"/>
    <w:pPr>
      <w:suppressAutoHyphens/>
      <w:spacing w:line="100" w:lineRule="atLeast"/>
    </w:pPr>
    <w:rPr>
      <w:rFonts w:ascii="Calibri" w:eastAsia="Calibri" w:hAnsi="Calibri" w:cs="Times New Roman"/>
      <w:spacing w:val="-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sa.plan.aau.dk/digitalAssets/32/32604_ceesa_wp4_report_samlet_02112011.pdf" TargetMode="External"/><Relationship Id="rId13" Type="http://schemas.openxmlformats.org/officeDocument/2006/relationships/hyperlink" Target="http://web.stanford.edu/group/efmh/jacobson/Articles/I/CaliforniaWW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ec.org/fileadmin/erec_docs/Documents/Publications/ReThinking2050_full%20version_final.pdf" TargetMode="External"/><Relationship Id="rId12" Type="http://schemas.openxmlformats.org/officeDocument/2006/relationships/hyperlink" Target="http://energie.wallonie.be/servlet/Repository/130419-backcasting-finalreport.pdf?ID=281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bn.aau.dk/ws/files/38596501/Energy_System_Analysis_of_100_Per_cent_Renewable_Energy_Systems_The_Case_of_Denmark_year_2030_and_2050.pdf" TargetMode="External"/><Relationship Id="rId11" Type="http://schemas.openxmlformats.org/officeDocument/2006/relationships/hyperlink" Target="http://www.pbl.nl/sites/default/files/cms/publicaties/PBL_2012_Climate-and-Energy-Roadmaps_500269001.pdf" TargetMode="External"/><Relationship Id="rId5" Type="http://schemas.openxmlformats.org/officeDocument/2006/relationships/hyperlink" Target="http://www.energiasostenible.org/mm/file/ES-ACat02_Cat100x100Ren_EAEurGP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ui.eu/Projects/THINK/Documents/THINK2050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carbonpathways.net.au/transition-strategies/the-energy-report-100-renewable-energy-by-2050/" TargetMode="External"/><Relationship Id="rId14" Type="http://schemas.openxmlformats.org/officeDocument/2006/relationships/hyperlink" Target="http://www.qualenergia.it/sites/default/files/articolo-doc/Breyer2014_paper_North-EastAsianSuperGrid_REmix_Economics_WCPEC-6_final_141125_DigestFullPaperAppendix_preprint-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Centelles</dc:creator>
  <cp:keywords/>
  <dc:description/>
  <cp:lastModifiedBy>Josep Centelles</cp:lastModifiedBy>
  <cp:revision>1</cp:revision>
  <dcterms:created xsi:type="dcterms:W3CDTF">2017-06-19T08:04:00Z</dcterms:created>
  <dcterms:modified xsi:type="dcterms:W3CDTF">2017-06-19T08:06:00Z</dcterms:modified>
</cp:coreProperties>
</file>